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  <w:t>故都的秋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》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  <w:t>学案</w:t>
      </w:r>
    </w:p>
    <w:p>
      <w:pPr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德州二中 张凯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学习目标：</w:t>
      </w:r>
    </w:p>
    <w:p>
      <w:pPr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1.</w:t>
      </w:r>
      <w:r>
        <w:rPr>
          <w:rFonts w:hint="eastAsia" w:ascii="楷体_GB2312" w:hAnsi="楷体_GB2312" w:eastAsia="楷体_GB2312" w:cs="楷体_GB2312"/>
          <w:lang w:eastAsia="zh-CN"/>
        </w:rPr>
        <w:t>从词、句入手，感受文章语言的魅力</w:t>
      </w:r>
      <w:r>
        <w:rPr>
          <w:rFonts w:hint="eastAsia" w:ascii="楷体_GB2312" w:hAnsi="楷体_GB2312" w:eastAsia="楷体_GB2312" w:cs="楷体_GB2312"/>
        </w:rPr>
        <w:t>。</w:t>
      </w:r>
    </w:p>
    <w:p>
      <w:pPr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</w:rPr>
        <w:t>2.</w:t>
      </w:r>
      <w:r>
        <w:rPr>
          <w:rFonts w:hint="eastAsia" w:ascii="楷体_GB2312" w:hAnsi="楷体_GB2312" w:eastAsia="楷体_GB2312" w:cs="楷体_GB2312"/>
          <w:lang w:eastAsia="zh-CN"/>
        </w:rPr>
        <w:t>鉴赏景物描写，进而</w:t>
      </w:r>
      <w:r>
        <w:rPr>
          <w:rFonts w:hint="eastAsia" w:ascii="楷体_GB2312" w:hAnsi="楷体_GB2312" w:eastAsia="楷体_GB2312" w:cs="楷体_GB2312"/>
        </w:rPr>
        <w:t>体会</w:t>
      </w:r>
      <w:r>
        <w:rPr>
          <w:rFonts w:hint="eastAsia" w:ascii="楷体_GB2312" w:hAnsi="楷体_GB2312" w:eastAsia="楷体_GB2312" w:cs="楷体_GB2312"/>
          <w:lang w:eastAsia="zh-CN"/>
        </w:rPr>
        <w:t>作者的情感和审美心理。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学习过程：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【夯实基础】</w:t>
      </w: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/>
        </w:rPr>
        <w:t>一、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（A）</w:t>
      </w:r>
      <w:r>
        <w:rPr>
          <w:rFonts w:hint="eastAsia" w:asciiTheme="minorEastAsia" w:hAnsiTheme="minorEastAsia" w:eastAsiaTheme="minorEastAsia" w:cstheme="minorEastAsia"/>
          <w:lang w:val="en-US"/>
        </w:rPr>
        <w:t>正字音</w:t>
      </w:r>
    </w:p>
    <w:p>
      <w:pPr>
        <w:rPr>
          <w:rFonts w:hint="eastAsia" w:ascii="楷体_GB2312" w:hAnsi="楷体_GB2312" w:eastAsia="楷体_GB2312" w:cs="楷体_GB2312"/>
          <w:lang w:val="en-US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（1）</w:t>
      </w:r>
      <w:r>
        <w:rPr>
          <w:rFonts w:hint="eastAsia" w:ascii="楷体_GB2312" w:hAnsi="楷体_GB2312" w:eastAsia="楷体_GB2312" w:cs="楷体_GB2312"/>
          <w:em w:val="dot"/>
          <w:lang w:val="en-US"/>
        </w:rPr>
        <w:t>混</w:t>
      </w:r>
      <w:r>
        <w:rPr>
          <w:rFonts w:hint="eastAsia" w:ascii="楷体_GB2312" w:hAnsi="楷体_GB2312" w:eastAsia="楷体_GB2312" w:cs="楷体_GB2312"/>
          <w:lang w:val="en-US"/>
        </w:rPr>
        <w:t>混</w:t>
      </w:r>
      <w:r>
        <w:rPr>
          <w:rFonts w:hint="eastAsia" w:ascii="楷体_GB2312" w:hAnsi="楷体_GB2312" w:eastAsia="楷体_GB2312" w:cs="楷体_GB2312"/>
          <w:em w:val="dot"/>
          <w:lang w:val="en-US"/>
        </w:rPr>
        <w:t>沌</w:t>
      </w:r>
      <w:r>
        <w:rPr>
          <w:rFonts w:hint="eastAsia" w:ascii="楷体_GB2312" w:hAnsi="楷体_GB2312" w:eastAsia="楷体_GB2312" w:cs="楷体_GB2312"/>
          <w:lang w:val="en-US"/>
        </w:rPr>
        <w:t>沌</w:t>
      </w:r>
      <w:r>
        <w:rPr>
          <w:rFonts w:hint="eastAsia" w:ascii="楷体_GB2312" w:hAnsi="楷体_GB2312" w:eastAsia="楷体_GB2312" w:cs="楷体_GB2312"/>
          <w:lang w:val="en-US" w:eastAsia="zh-CN"/>
        </w:rPr>
        <w:t>（    ）（    ） （2）</w:t>
      </w:r>
      <w:r>
        <w:rPr>
          <w:rFonts w:hint="eastAsia" w:ascii="楷体_GB2312" w:hAnsi="楷体_GB2312" w:eastAsia="楷体_GB2312" w:cs="楷体_GB2312"/>
          <w:lang w:val="en-US"/>
        </w:rPr>
        <w:t>扫</w:t>
      </w:r>
      <w:r>
        <w:rPr>
          <w:rFonts w:hint="eastAsia" w:ascii="楷体_GB2312" w:hAnsi="楷体_GB2312" w:eastAsia="楷体_GB2312" w:cs="楷体_GB2312"/>
          <w:em w:val="dot"/>
          <w:lang w:val="en-US"/>
        </w:rPr>
        <w:t>帚</w:t>
      </w:r>
      <w:r>
        <w:rPr>
          <w:rFonts w:hint="eastAsia" w:ascii="楷体_GB2312" w:hAnsi="楷体_GB2312" w:eastAsia="楷体_GB2312" w:cs="楷体_GB2312"/>
          <w:lang w:val="en-US" w:eastAsia="zh-CN"/>
        </w:rPr>
        <w:t>（    ） （3）</w:t>
      </w:r>
      <w:r>
        <w:rPr>
          <w:rFonts w:hint="eastAsia" w:ascii="楷体_GB2312" w:hAnsi="楷体_GB2312" w:eastAsia="楷体_GB2312" w:cs="楷体_GB2312"/>
          <w:lang w:val="en-US"/>
        </w:rPr>
        <w:t>平平</w:t>
      </w:r>
      <w:r>
        <w:rPr>
          <w:rFonts w:hint="eastAsia" w:ascii="楷体_GB2312" w:hAnsi="楷体_GB2312" w:eastAsia="楷体_GB2312" w:cs="楷体_GB2312"/>
          <w:em w:val="dot"/>
          <w:lang w:val="en-US"/>
        </w:rPr>
        <w:t>仄</w:t>
      </w:r>
      <w:r>
        <w:rPr>
          <w:rFonts w:hint="eastAsia" w:ascii="楷体_GB2312" w:hAnsi="楷体_GB2312" w:eastAsia="楷体_GB2312" w:cs="楷体_GB2312"/>
          <w:lang w:val="en-US"/>
        </w:rPr>
        <w:t>仄</w:t>
      </w:r>
      <w:r>
        <w:rPr>
          <w:rFonts w:hint="eastAsia" w:ascii="楷体_GB2312" w:hAnsi="楷体_GB2312" w:eastAsia="楷体_GB2312" w:cs="楷体_GB2312"/>
          <w:lang w:val="en-US" w:eastAsia="zh-CN"/>
        </w:rPr>
        <w:t>（    ）（4）</w:t>
      </w:r>
      <w:r>
        <w:rPr>
          <w:rFonts w:hint="eastAsia" w:ascii="楷体_GB2312" w:hAnsi="楷体_GB2312" w:eastAsia="楷体_GB2312" w:cs="楷体_GB2312"/>
          <w:em w:val="dot"/>
          <w:lang w:val="en-US"/>
        </w:rPr>
        <w:t>歧</w:t>
      </w:r>
      <w:r>
        <w:rPr>
          <w:rFonts w:hint="eastAsia" w:ascii="楷体_GB2312" w:hAnsi="楷体_GB2312" w:eastAsia="楷体_GB2312" w:cs="楷体_GB2312"/>
          <w:lang w:val="en-US"/>
        </w:rPr>
        <w:t>韵</w:t>
      </w:r>
      <w:r>
        <w:rPr>
          <w:rFonts w:hint="eastAsia" w:ascii="楷体_GB2312" w:hAnsi="楷体_GB2312" w:eastAsia="楷体_GB2312" w:cs="楷体_GB2312"/>
          <w:lang w:val="en-US" w:eastAsia="zh-CN"/>
        </w:rPr>
        <w:t>（    ）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（5）</w:t>
      </w:r>
      <w:r>
        <w:rPr>
          <w:rFonts w:hint="eastAsia" w:ascii="楷体_GB2312" w:hAnsi="楷体_GB2312" w:eastAsia="楷体_GB2312" w:cs="楷体_GB2312"/>
          <w:em w:val="dot"/>
          <w:lang w:val="en-US"/>
        </w:rPr>
        <w:t>橄榄</w:t>
      </w:r>
      <w:r>
        <w:rPr>
          <w:rFonts w:hint="eastAsia" w:ascii="楷体_GB2312" w:hAnsi="楷体_GB2312" w:eastAsia="楷体_GB2312" w:cs="楷体_GB2312"/>
          <w:lang w:val="en-US" w:eastAsia="zh-CN"/>
        </w:rPr>
        <w:t>（    ）（    ）（6）</w:t>
      </w:r>
      <w:r>
        <w:rPr>
          <w:rFonts w:hint="eastAsia" w:ascii="楷体_GB2312" w:hAnsi="楷体_GB2312" w:eastAsia="楷体_GB2312" w:cs="楷体_GB2312"/>
          <w:em w:val="dot"/>
          <w:lang w:val="en-US"/>
        </w:rPr>
        <w:t>椭</w:t>
      </w:r>
      <w:r>
        <w:rPr>
          <w:rFonts w:hint="eastAsia" w:ascii="楷体_GB2312" w:hAnsi="楷体_GB2312" w:eastAsia="楷体_GB2312" w:cs="楷体_GB2312"/>
          <w:lang w:val="en-US"/>
        </w:rPr>
        <w:t>圆</w:t>
      </w:r>
      <w:r>
        <w:rPr>
          <w:rFonts w:hint="eastAsia" w:ascii="楷体_GB2312" w:hAnsi="楷体_GB2312" w:eastAsia="楷体_GB2312" w:cs="楷体_GB2312"/>
          <w:lang w:val="en-US" w:eastAsia="zh-CN"/>
        </w:rPr>
        <w:t>（    ） （7）</w:t>
      </w:r>
      <w:r>
        <w:rPr>
          <w:rFonts w:hint="eastAsia" w:ascii="楷体_GB2312" w:hAnsi="楷体_GB2312" w:eastAsia="楷体_GB2312" w:cs="楷体_GB2312"/>
          <w:em w:val="dot"/>
          <w:lang w:val="en-US"/>
        </w:rPr>
        <w:t>譬</w:t>
      </w:r>
      <w:r>
        <w:rPr>
          <w:rFonts w:hint="eastAsia" w:ascii="楷体_GB2312" w:hAnsi="楷体_GB2312" w:eastAsia="楷体_GB2312" w:cs="楷体_GB2312"/>
          <w:lang w:val="en-US"/>
        </w:rPr>
        <w:t>如</w:t>
      </w:r>
      <w:r>
        <w:rPr>
          <w:rFonts w:hint="eastAsia" w:ascii="楷体_GB2312" w:hAnsi="楷体_GB2312" w:eastAsia="楷体_GB2312" w:cs="楷体_GB2312"/>
          <w:lang w:val="en-US" w:eastAsia="zh-CN"/>
        </w:rPr>
        <w:t>（    ） （8）</w:t>
      </w:r>
      <w:r>
        <w:rPr>
          <w:rFonts w:hint="eastAsia" w:ascii="楷体_GB2312" w:hAnsi="楷体_GB2312" w:eastAsia="楷体_GB2312" w:cs="楷体_GB2312"/>
          <w:em w:val="dot"/>
          <w:lang w:val="en-US"/>
        </w:rPr>
        <w:t>廿</w:t>
      </w:r>
      <w:r>
        <w:rPr>
          <w:rFonts w:hint="eastAsia" w:ascii="楷体_GB2312" w:hAnsi="楷体_GB2312" w:eastAsia="楷体_GB2312" w:cs="楷体_GB2312"/>
          <w:lang w:val="en-US"/>
        </w:rPr>
        <w:t>四桥</w:t>
      </w:r>
      <w:r>
        <w:rPr>
          <w:rFonts w:hint="eastAsia" w:ascii="楷体_GB2312" w:hAnsi="楷体_GB2312" w:eastAsia="楷体_GB2312" w:cs="楷体_GB2312"/>
          <w:lang w:val="en-US" w:eastAsia="zh-CN"/>
        </w:rPr>
        <w:t>（    ）</w:t>
      </w: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2.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（A）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初读课文，写下你的感受和疑问。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【鉴赏品味】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（B）跟随郁达夫赏故都的秋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1.细读课文第3段，根据要求填空。</w:t>
      </w:r>
    </w:p>
    <w:p>
      <w:pPr>
        <w:numPr>
          <w:ilvl w:val="0"/>
          <w:numId w:val="0"/>
        </w:numPr>
        <w:ind w:firstLine="420" w:firstLineChars="200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在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在皇城人海之中，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（时间）起来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一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碗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浓茶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在租来的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有着一椽破屋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的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（地点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秋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（选一个动词填空：A.看B.观C.赏D.听）：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很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高很高的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   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听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   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静对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中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         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和花下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              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，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槐树底下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 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的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日光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。（列举景物，把景物的特点作为定语加在景物前面）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仿照第一题分别浓缩4-11段所描写的景物，注意时间、地点、景物及其修饰语。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（B）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填表完成对故都的秋的调查分析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478"/>
        <w:gridCol w:w="2175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</w:tcPr>
          <w:p>
            <w:pPr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478" w:type="dxa"/>
          </w:tcPr>
          <w:p>
            <w:pPr>
              <w:numPr>
                <w:ilvl w:val="0"/>
                <w:numId w:val="0"/>
              </w:numPr>
              <w:ind w:firstLine="840" w:firstLineChars="400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相关景物或词句</w:t>
            </w:r>
          </w:p>
        </w:tc>
        <w:tc>
          <w:tcPr>
            <w:tcW w:w="2175" w:type="dxa"/>
          </w:tcPr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概括特点</w:t>
            </w:r>
          </w:p>
        </w:tc>
        <w:tc>
          <w:tcPr>
            <w:tcW w:w="2229" w:type="dxa"/>
          </w:tcPr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归纳分析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</w:tcPr>
          <w:p>
            <w:pPr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秋色</w:t>
            </w:r>
          </w:p>
        </w:tc>
        <w:tc>
          <w:tcPr>
            <w:tcW w:w="3478" w:type="dxa"/>
          </w:tcPr>
          <w:p>
            <w:pPr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蓝天、蓝朵、落蕊之白、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灰沉沉的天、青布单衣、淡绿微黄的枣子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2175" w:type="dxa"/>
          </w:tcPr>
          <w:p>
            <w:pPr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29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作者喜欢什么样的秋？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</w:tcPr>
          <w:p>
            <w:pPr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秋姿</w:t>
            </w:r>
          </w:p>
        </w:tc>
        <w:tc>
          <w:tcPr>
            <w:tcW w:w="3478" w:type="dxa"/>
          </w:tcPr>
          <w:p>
            <w:pPr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</w:tcPr>
          <w:p>
            <w:pPr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2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</w:tcPr>
          <w:p>
            <w:pPr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秋声</w:t>
            </w:r>
          </w:p>
        </w:tc>
        <w:tc>
          <w:tcPr>
            <w:tcW w:w="3478" w:type="dxa"/>
          </w:tcPr>
          <w:p>
            <w:pPr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</w:tcPr>
          <w:p>
            <w:pPr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2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</w:tcPr>
          <w:p>
            <w:pPr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秋温</w:t>
            </w:r>
          </w:p>
        </w:tc>
        <w:tc>
          <w:tcPr>
            <w:tcW w:w="3478" w:type="dxa"/>
          </w:tcPr>
          <w:p>
            <w:pPr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凉风、秋雨、天可真凉了</w:t>
            </w:r>
          </w:p>
        </w:tc>
        <w:tc>
          <w:tcPr>
            <w:tcW w:w="2175" w:type="dxa"/>
          </w:tcPr>
          <w:p>
            <w:pPr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凉、凉的爽快、不拖泥带水</w:t>
            </w:r>
          </w:p>
        </w:tc>
        <w:tc>
          <w:tcPr>
            <w:tcW w:w="222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（B）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品味语言</w:t>
      </w:r>
    </w:p>
    <w:p>
      <w:pPr>
        <w:numPr>
          <w:ilvl w:val="0"/>
          <w:numId w:val="0"/>
        </w:numPr>
        <w:ind w:firstLine="422" w:firstLineChars="200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选择你喜欢的句子或段落，从用词、句式或修辞等角度鉴赏其表情达意的效果。</w:t>
      </w:r>
    </w:p>
    <w:p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四、（C）</w:t>
      </w: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反复诵读课文，想一想你读出了一个怎样的郁达夫？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【学以致用】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（C）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楷体_GB2312" w:hAnsi="楷体_GB2312" w:eastAsia="楷体_GB2312" w:cs="楷体_GB2312"/>
          <w:lang w:val="en-US"/>
        </w:rPr>
      </w:pPr>
      <w:r>
        <w:rPr>
          <w:rFonts w:hint="eastAsia" w:ascii="楷体_GB2312" w:hAnsi="楷体_GB2312" w:eastAsia="楷体_GB2312" w:cs="楷体_GB2312"/>
          <w:lang w:val="en-US"/>
        </w:rPr>
        <w:t>秋雨</w:t>
      </w:r>
      <w:r>
        <w:rPr>
          <w:rFonts w:hint="eastAsia" w:ascii="楷体_GB2312" w:hAnsi="楷体_GB2312" w:eastAsia="楷体_GB2312" w:cs="楷体_GB2312"/>
          <w:lang w:val="en-US" w:eastAsia="zh-CN"/>
        </w:rPr>
        <w:t>萧瑟，</w:t>
      </w:r>
      <w:r>
        <w:rPr>
          <w:rFonts w:hint="eastAsia" w:ascii="楷体_GB2312" w:hAnsi="楷体_GB2312" w:eastAsia="楷体_GB2312" w:cs="楷体_GB2312"/>
          <w:lang w:val="en-US"/>
        </w:rPr>
        <w:t>秋风遒劲</w:t>
      </w:r>
      <w:r>
        <w:rPr>
          <w:rFonts w:hint="eastAsia" w:ascii="楷体_GB2312" w:hAnsi="楷体_GB2312" w:eastAsia="楷体_GB2312" w:cs="楷体_GB2312"/>
          <w:lang w:val="en-US" w:eastAsia="zh-CN"/>
        </w:rPr>
        <w:t>，</w:t>
      </w:r>
      <w:r>
        <w:rPr>
          <w:rFonts w:hint="eastAsia" w:ascii="楷体_GB2312" w:hAnsi="楷体_GB2312" w:eastAsia="楷体_GB2312" w:cs="楷体_GB2312"/>
          <w:lang w:val="en-US"/>
        </w:rPr>
        <w:t>硕果累累</w:t>
      </w:r>
      <w:r>
        <w:rPr>
          <w:rFonts w:hint="eastAsia" w:ascii="楷体_GB2312" w:hAnsi="楷体_GB2312" w:eastAsia="楷体_GB2312" w:cs="楷体_GB2312"/>
          <w:lang w:val="en-US" w:eastAsia="zh-CN"/>
        </w:rPr>
        <w:t>，</w:t>
      </w:r>
      <w:r>
        <w:rPr>
          <w:rFonts w:hint="eastAsia" w:ascii="楷体_GB2312" w:hAnsi="楷体_GB2312" w:eastAsia="楷体_GB2312" w:cs="楷体_GB2312"/>
          <w:lang w:val="en-US"/>
        </w:rPr>
        <w:t>枫叶如火。不同的景住往映出不同的情</w:t>
      </w:r>
      <w:r>
        <w:rPr>
          <w:rFonts w:hint="eastAsia" w:ascii="楷体_GB2312" w:hAnsi="楷体_GB2312" w:eastAsia="楷体_GB2312" w:cs="楷体_GB2312"/>
          <w:lang w:val="en-US" w:eastAsia="zh-CN"/>
        </w:rPr>
        <w:t>，</w:t>
      </w:r>
      <w:r>
        <w:rPr>
          <w:rFonts w:hint="eastAsia" w:ascii="楷体_GB2312" w:hAnsi="楷体_GB2312" w:eastAsia="楷体_GB2312" w:cs="楷体_GB2312"/>
          <w:lang w:val="en-US"/>
        </w:rPr>
        <w:t>多姿多色的秋景中</w:t>
      </w:r>
      <w:r>
        <w:rPr>
          <w:rFonts w:hint="eastAsia" w:ascii="楷体_GB2312" w:hAnsi="楷体_GB2312" w:eastAsia="楷体_GB2312" w:cs="楷体_GB2312"/>
          <w:lang w:val="en-US" w:eastAsia="zh-CN"/>
        </w:rPr>
        <w:t>，</w:t>
      </w:r>
      <w:r>
        <w:rPr>
          <w:rFonts w:hint="eastAsia" w:ascii="楷体_GB2312" w:hAnsi="楷体_GB2312" w:eastAsia="楷体_GB2312" w:cs="楷体_GB2312"/>
          <w:lang w:val="en-US"/>
        </w:rPr>
        <w:t>究竟哪片景最能贴近你的心</w:t>
      </w:r>
      <w:r>
        <w:rPr>
          <w:rFonts w:hint="eastAsia" w:ascii="楷体_GB2312" w:hAnsi="楷体_GB2312" w:eastAsia="楷体_GB2312" w:cs="楷体_GB2312"/>
          <w:lang w:val="en-US" w:eastAsia="zh-CN"/>
        </w:rPr>
        <w:t>？</w:t>
      </w:r>
      <w:r>
        <w:rPr>
          <w:rFonts w:hint="eastAsia" w:ascii="楷体_GB2312" w:hAnsi="楷体_GB2312" w:eastAsia="楷体_GB2312" w:cs="楷体_GB2312"/>
          <w:lang w:val="en-US"/>
        </w:rPr>
        <w:t>请</w:t>
      </w:r>
      <w:r>
        <w:rPr>
          <w:rFonts w:hint="eastAsia" w:ascii="楷体_GB2312" w:hAnsi="楷体_GB2312" w:eastAsia="楷体_GB2312" w:cs="楷体_GB2312"/>
          <w:lang w:val="en-US" w:eastAsia="zh-CN"/>
        </w:rPr>
        <w:t>从你的审美角度出发，</w:t>
      </w:r>
      <w:r>
        <w:rPr>
          <w:rFonts w:hint="eastAsia" w:ascii="楷体_GB2312" w:hAnsi="楷体_GB2312" w:eastAsia="楷体_GB2312" w:cs="楷体_GB2312"/>
          <w:lang w:val="en-US"/>
        </w:rPr>
        <w:t>选择合适的景物</w:t>
      </w:r>
      <w:r>
        <w:rPr>
          <w:rFonts w:hint="eastAsia" w:ascii="楷体_GB2312" w:hAnsi="楷体_GB2312" w:eastAsia="楷体_GB2312" w:cs="楷体_GB2312"/>
          <w:lang w:val="en-US" w:eastAsia="zh-CN"/>
        </w:rPr>
        <w:t>，</w:t>
      </w:r>
      <w:r>
        <w:rPr>
          <w:rFonts w:hint="eastAsia" w:ascii="楷体_GB2312" w:hAnsi="楷体_GB2312" w:eastAsia="楷体_GB2312" w:cs="楷体_GB2312"/>
          <w:lang w:val="en-US"/>
        </w:rPr>
        <w:t>运用多种手法</w:t>
      </w:r>
      <w:r>
        <w:rPr>
          <w:rFonts w:hint="eastAsia" w:ascii="楷体_GB2312" w:hAnsi="楷体_GB2312" w:eastAsia="楷体_GB2312" w:cs="楷体_GB2312"/>
          <w:lang w:val="en-US" w:eastAsia="zh-CN"/>
        </w:rPr>
        <w:t>，</w:t>
      </w:r>
      <w:r>
        <w:rPr>
          <w:rFonts w:hint="eastAsia" w:ascii="楷体_GB2312" w:hAnsi="楷体_GB2312" w:eastAsia="楷体_GB2312" w:cs="楷体_GB2312"/>
          <w:lang w:val="en-US"/>
        </w:rPr>
        <w:t>多角度有层次地写一段描写性文字</w:t>
      </w:r>
      <w:r>
        <w:rPr>
          <w:rFonts w:hint="eastAsia" w:ascii="楷体_GB2312" w:hAnsi="楷体_GB2312" w:eastAsia="楷体_GB2312" w:cs="楷体_GB2312"/>
          <w:lang w:val="en-US" w:eastAsia="zh-CN"/>
        </w:rPr>
        <w:t>，</w:t>
      </w:r>
      <w:r>
        <w:rPr>
          <w:rFonts w:hint="eastAsia" w:ascii="楷体_GB2312" w:hAnsi="楷体_GB2312" w:eastAsia="楷体_GB2312" w:cs="楷体_GB2312"/>
          <w:lang w:val="en-US"/>
        </w:rPr>
        <w:t>200字左右。</w:t>
      </w:r>
    </w:p>
    <w:tbl>
      <w:tblPr>
        <w:tblStyle w:val="3"/>
        <w:tblW w:w="920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  <w:gridCol w:w="419"/>
        <w:gridCol w:w="419"/>
        <w:gridCol w:w="419"/>
        <w:gridCol w:w="419"/>
        <w:gridCol w:w="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21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9204" w:type="dxa"/>
            <w:gridSpan w:val="22"/>
            <w:noWrap w:val="0"/>
            <w:vAlign w:val="top"/>
          </w:tcPr>
          <w:p>
            <w:pPr>
              <w:snapToGrid w:val="0"/>
              <w:spacing w:line="16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21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9204" w:type="dxa"/>
            <w:gridSpan w:val="22"/>
            <w:noWrap w:val="0"/>
            <w:vAlign w:val="top"/>
          </w:tcPr>
          <w:p>
            <w:pPr>
              <w:snapToGrid w:val="0"/>
              <w:spacing w:line="16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21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9204" w:type="dxa"/>
            <w:gridSpan w:val="22"/>
            <w:noWrap w:val="0"/>
            <w:vAlign w:val="top"/>
          </w:tcPr>
          <w:p>
            <w:pPr>
              <w:snapToGrid w:val="0"/>
              <w:spacing w:line="16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21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9204" w:type="dxa"/>
            <w:gridSpan w:val="22"/>
            <w:noWrap w:val="0"/>
            <w:vAlign w:val="top"/>
          </w:tcPr>
          <w:p>
            <w:pPr>
              <w:snapToGrid w:val="0"/>
              <w:spacing w:line="16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21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9204" w:type="dxa"/>
            <w:gridSpan w:val="22"/>
            <w:noWrap w:val="0"/>
            <w:vAlign w:val="top"/>
          </w:tcPr>
          <w:p>
            <w:pPr>
              <w:snapToGrid w:val="0"/>
              <w:spacing w:line="16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21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9204" w:type="dxa"/>
            <w:gridSpan w:val="22"/>
            <w:noWrap w:val="0"/>
            <w:vAlign w:val="top"/>
          </w:tcPr>
          <w:p>
            <w:pPr>
              <w:snapToGrid w:val="0"/>
              <w:spacing w:line="16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21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9204" w:type="dxa"/>
            <w:gridSpan w:val="22"/>
            <w:noWrap w:val="0"/>
            <w:vAlign w:val="top"/>
          </w:tcPr>
          <w:p>
            <w:pPr>
              <w:snapToGrid w:val="0"/>
              <w:spacing w:line="16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21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9204" w:type="dxa"/>
            <w:gridSpan w:val="22"/>
            <w:noWrap w:val="0"/>
            <w:vAlign w:val="top"/>
          </w:tcPr>
          <w:p>
            <w:pPr>
              <w:snapToGrid w:val="0"/>
              <w:spacing w:line="16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21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9204" w:type="dxa"/>
            <w:gridSpan w:val="22"/>
            <w:noWrap w:val="0"/>
            <w:vAlign w:val="top"/>
          </w:tcPr>
          <w:p>
            <w:pPr>
              <w:snapToGrid w:val="0"/>
              <w:spacing w:line="16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21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9204" w:type="dxa"/>
            <w:gridSpan w:val="22"/>
            <w:noWrap w:val="0"/>
            <w:vAlign w:val="top"/>
          </w:tcPr>
          <w:p>
            <w:pPr>
              <w:snapToGrid w:val="0"/>
              <w:spacing w:line="16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21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9204" w:type="dxa"/>
            <w:gridSpan w:val="22"/>
            <w:noWrap w:val="0"/>
            <w:vAlign w:val="top"/>
          </w:tcPr>
          <w:p>
            <w:pPr>
              <w:snapToGrid w:val="0"/>
              <w:spacing w:line="16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21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9204" w:type="dxa"/>
            <w:gridSpan w:val="22"/>
            <w:noWrap w:val="0"/>
            <w:vAlign w:val="top"/>
          </w:tcPr>
          <w:p>
            <w:pPr>
              <w:snapToGrid w:val="0"/>
              <w:spacing w:line="16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21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9204" w:type="dxa"/>
            <w:gridSpan w:val="22"/>
            <w:noWrap w:val="0"/>
            <w:vAlign w:val="top"/>
          </w:tcPr>
          <w:p>
            <w:pPr>
              <w:snapToGrid w:val="0"/>
              <w:spacing w:line="16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19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421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9204" w:type="dxa"/>
            <w:gridSpan w:val="22"/>
            <w:noWrap w:val="0"/>
            <w:vAlign w:val="top"/>
          </w:tcPr>
          <w:p>
            <w:pPr>
              <w:snapToGrid w:val="0"/>
              <w:spacing w:line="160" w:lineRule="exact"/>
              <w:rPr>
                <w:rFonts w:hint="eastAsia"/>
                <w:b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E9DF61"/>
    <w:multiLevelType w:val="singleLevel"/>
    <w:tmpl w:val="F3E9DF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986344"/>
    <w:multiLevelType w:val="singleLevel"/>
    <w:tmpl w:val="3398634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5475C"/>
    <w:rsid w:val="0B9C7AE2"/>
    <w:rsid w:val="0E8F254F"/>
    <w:rsid w:val="16BE52F8"/>
    <w:rsid w:val="17076C61"/>
    <w:rsid w:val="18D80F04"/>
    <w:rsid w:val="1C4E2193"/>
    <w:rsid w:val="1CD84C71"/>
    <w:rsid w:val="1F65475C"/>
    <w:rsid w:val="1F682A11"/>
    <w:rsid w:val="264B478F"/>
    <w:rsid w:val="26695545"/>
    <w:rsid w:val="26D124DF"/>
    <w:rsid w:val="273711A3"/>
    <w:rsid w:val="27AA3B1B"/>
    <w:rsid w:val="28721706"/>
    <w:rsid w:val="31A10696"/>
    <w:rsid w:val="3FB46BBE"/>
    <w:rsid w:val="4A040DDD"/>
    <w:rsid w:val="4C4B7A07"/>
    <w:rsid w:val="4EAC0D59"/>
    <w:rsid w:val="4FA25D4E"/>
    <w:rsid w:val="4FAD5FD3"/>
    <w:rsid w:val="508D37A1"/>
    <w:rsid w:val="551A68CA"/>
    <w:rsid w:val="568B0B53"/>
    <w:rsid w:val="5A082F6A"/>
    <w:rsid w:val="6648341E"/>
    <w:rsid w:val="6C755C80"/>
    <w:rsid w:val="7695547E"/>
    <w:rsid w:val="7B2C7CAC"/>
    <w:rsid w:val="7C24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2019-12-20T00:52:00Z</dcterms:created>
  <dc:creator>状况68</dc:creator>
  <cp:lastModifiedBy>状况68</cp:lastModifiedBy>
  <dcterms:modified xsi:type="dcterms:W3CDTF">2019-12-30T11:12:12Z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